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3BE8" w14:textId="1BB0AAA2" w:rsidR="00404F7F" w:rsidRPr="00EF7BE3" w:rsidRDefault="00DF1564" w:rsidP="00404F7F">
      <w:pPr>
        <w:rPr>
          <w:b/>
          <w:bCs/>
        </w:rPr>
      </w:pPr>
      <w:r w:rsidRPr="00EF7BE3">
        <w:rPr>
          <w:b/>
          <w:bCs/>
        </w:rPr>
        <w:t xml:space="preserve">Komentarz do </w:t>
      </w:r>
      <w:r w:rsidR="0012320C" w:rsidRPr="00EF7BE3">
        <w:rPr>
          <w:b/>
          <w:bCs/>
        </w:rPr>
        <w:t>najbliższego posiedzenia RPP</w:t>
      </w:r>
      <w:r w:rsidRPr="00EF7BE3">
        <w:rPr>
          <w:b/>
          <w:bCs/>
        </w:rPr>
        <w:t xml:space="preserve"> 7-8.02.</w:t>
      </w:r>
    </w:p>
    <w:p w14:paraId="15EDFB4F" w14:textId="17789503" w:rsidR="0030108C" w:rsidRPr="00EF7BE3" w:rsidRDefault="0030108C" w:rsidP="00404F7F">
      <w:pPr>
        <w:rPr>
          <w:b/>
          <w:bCs/>
        </w:rPr>
      </w:pPr>
      <w:r w:rsidRPr="00EF7BE3">
        <w:rPr>
          <w:b/>
          <w:bCs/>
        </w:rPr>
        <w:t xml:space="preserve">Ekspert: Jan Wojtczak, ekspert kredytowy </w:t>
      </w:r>
      <w:proofErr w:type="spellStart"/>
      <w:r w:rsidRPr="00EF7BE3">
        <w:rPr>
          <w:b/>
          <w:bCs/>
        </w:rPr>
        <w:t>Lendi</w:t>
      </w:r>
      <w:proofErr w:type="spellEnd"/>
    </w:p>
    <w:p w14:paraId="36E3A6FF" w14:textId="77777777" w:rsidR="00404F7F" w:rsidRDefault="00404F7F" w:rsidP="00404F7F"/>
    <w:p w14:paraId="5B84E21D" w14:textId="3C40B30C" w:rsidR="0058697C" w:rsidRDefault="00EB549D" w:rsidP="00F96A0B">
      <w:r>
        <w:t>Zgodnie z harmonogram</w:t>
      </w:r>
      <w:r w:rsidR="00B35F13">
        <w:t>em</w:t>
      </w:r>
      <w:r>
        <w:t xml:space="preserve"> wskazanym na stronach NBP</w:t>
      </w:r>
      <w:r w:rsidR="0030108C">
        <w:t>,</w:t>
      </w:r>
      <w:r>
        <w:t xml:space="preserve"> najbliższe posiedzenie </w:t>
      </w:r>
      <w:r w:rsidR="00EC1499">
        <w:t>Rady Polityki Pieniężnej</w:t>
      </w:r>
      <w:r>
        <w:t xml:space="preserve"> odbędzie się w dniach </w:t>
      </w:r>
      <w:r w:rsidR="007C587A">
        <w:t>7-8</w:t>
      </w:r>
      <w:r w:rsidR="003B2EA6">
        <w:t>.02.2023</w:t>
      </w:r>
      <w:r w:rsidR="0030108C">
        <w:t xml:space="preserve"> roku</w:t>
      </w:r>
      <w:r w:rsidR="007C587A">
        <w:t xml:space="preserve"> (jako</w:t>
      </w:r>
      <w:r w:rsidR="0030108C">
        <w:t xml:space="preserve"> kolejne w tym roku</w:t>
      </w:r>
      <w:r w:rsidR="007C587A">
        <w:t xml:space="preserve"> posiedzenie dwudniowe)</w:t>
      </w:r>
      <w:r w:rsidR="003B2EA6">
        <w:t>. Kredytobiorcy przyzwyczaili się już</w:t>
      </w:r>
      <w:r w:rsidR="0089220F">
        <w:t>,</w:t>
      </w:r>
      <w:r w:rsidR="003B2EA6">
        <w:t xml:space="preserve"> iż w pie</w:t>
      </w:r>
      <w:r w:rsidR="00394822">
        <w:t xml:space="preserve">rwszym tygodniu nowego </w:t>
      </w:r>
      <w:r w:rsidR="006D1F1A">
        <w:t xml:space="preserve">miesiąca </w:t>
      </w:r>
      <w:r w:rsidR="0030108C">
        <w:t xml:space="preserve">ogłaszana jest </w:t>
      </w:r>
      <w:r w:rsidR="006D1F1A">
        <w:t xml:space="preserve">informacja </w:t>
      </w:r>
      <w:r w:rsidR="000E18E0">
        <w:t xml:space="preserve">mająca wpływ na </w:t>
      </w:r>
      <w:r w:rsidR="0045193E">
        <w:t xml:space="preserve">wysokość </w:t>
      </w:r>
      <w:r w:rsidR="00BE7DE0">
        <w:t xml:space="preserve">ich </w:t>
      </w:r>
      <w:r w:rsidR="0045193E">
        <w:t>rat kredytowych</w:t>
      </w:r>
      <w:r w:rsidR="0030108C">
        <w:t>,</w:t>
      </w:r>
      <w:r w:rsidR="0045193E">
        <w:t xml:space="preserve"> a co za tym idzie</w:t>
      </w:r>
      <w:r w:rsidR="0030108C">
        <w:t xml:space="preserve"> -</w:t>
      </w:r>
      <w:r w:rsidR="0045193E">
        <w:t xml:space="preserve"> </w:t>
      </w:r>
      <w:r w:rsidR="000E18E0">
        <w:t>comiesięczny budżet domowy</w:t>
      </w:r>
      <w:r w:rsidR="003C4A1E">
        <w:t xml:space="preserve">. </w:t>
      </w:r>
    </w:p>
    <w:p w14:paraId="15376B0C" w14:textId="3EDE5EF1" w:rsidR="0058697C" w:rsidRDefault="00F96A0B" w:rsidP="00F96A0B">
      <w:r>
        <w:br/>
      </w:r>
      <w:r w:rsidR="00B94422">
        <w:t>Znajdujemy się w dość ciekawym momencie</w:t>
      </w:r>
      <w:r w:rsidR="006B7837">
        <w:t>,</w:t>
      </w:r>
      <w:r w:rsidR="00B94422">
        <w:t xml:space="preserve"> ponieważ ostatnie </w:t>
      </w:r>
      <w:r w:rsidR="006B7837">
        <w:t>cztery</w:t>
      </w:r>
      <w:r w:rsidR="00B94422">
        <w:t xml:space="preserve"> posiedzenia </w:t>
      </w:r>
      <w:r w:rsidR="00E252FB">
        <w:t xml:space="preserve">RPP pozostawiały </w:t>
      </w:r>
      <w:r w:rsidR="00D37E77">
        <w:t>główną stopę bazową</w:t>
      </w:r>
      <w:r w:rsidR="00E252FB">
        <w:t xml:space="preserve"> </w:t>
      </w:r>
      <w:r w:rsidR="00B73432">
        <w:t>na niezmienionym,</w:t>
      </w:r>
      <w:r w:rsidR="00E252FB">
        <w:t xml:space="preserve"> szczytowym poziomie 6,75 %</w:t>
      </w:r>
      <w:r w:rsidR="00B73432">
        <w:t>.</w:t>
      </w:r>
      <w:r w:rsidR="00E252FB">
        <w:t xml:space="preserve"> </w:t>
      </w:r>
      <w:r w:rsidR="00D248F7">
        <w:t xml:space="preserve">Zapewne tak będzie i tym razem. </w:t>
      </w:r>
      <w:r w:rsidR="00A9008F">
        <w:t xml:space="preserve">Można </w:t>
      </w:r>
      <w:r w:rsidR="00F6357C">
        <w:t>przypuszczać</w:t>
      </w:r>
      <w:r w:rsidR="006B7837">
        <w:t>,</w:t>
      </w:r>
      <w:r w:rsidR="00793D6F">
        <w:t xml:space="preserve"> iż RPP wbiła kotwicę na obecnym poziomie</w:t>
      </w:r>
      <w:r w:rsidR="00E93B38">
        <w:t xml:space="preserve"> i czeka na nowe dane z gospodarki oraz k</w:t>
      </w:r>
      <w:r w:rsidR="00BE7DE0">
        <w:t>olejne odczyty</w:t>
      </w:r>
      <w:r w:rsidR="00E93B38">
        <w:t xml:space="preserve"> inflacji</w:t>
      </w:r>
      <w:r w:rsidR="00793D6F">
        <w:t xml:space="preserve">. </w:t>
      </w:r>
      <w:r w:rsidR="00B73432">
        <w:t>P</w:t>
      </w:r>
      <w:r w:rsidR="00E252FB">
        <w:t xml:space="preserve">rzed nami jednak </w:t>
      </w:r>
      <w:r w:rsidR="00060F50">
        <w:t xml:space="preserve">prognozowany </w:t>
      </w:r>
      <w:r w:rsidR="004D0C8F">
        <w:t xml:space="preserve">jej </w:t>
      </w:r>
      <w:r w:rsidR="00060F50">
        <w:t>szczyt</w:t>
      </w:r>
      <w:r w:rsidR="006B7837">
        <w:t>,</w:t>
      </w:r>
      <w:r w:rsidR="00060F50">
        <w:t xml:space="preserve"> który w ocenie wielu ekspertów przypada</w:t>
      </w:r>
      <w:r w:rsidR="0030108C">
        <w:t>ć będzie</w:t>
      </w:r>
      <w:r w:rsidR="00060F50">
        <w:t xml:space="preserve"> na </w:t>
      </w:r>
      <w:r w:rsidR="00653E17">
        <w:t>I kwartał</w:t>
      </w:r>
      <w:r w:rsidR="00DE3BC3">
        <w:t xml:space="preserve"> br</w:t>
      </w:r>
      <w:r w:rsidR="000121F0">
        <w:t>.</w:t>
      </w:r>
      <w:r w:rsidR="00F51BEF">
        <w:t xml:space="preserve"> z wartościami zbliżonymi</w:t>
      </w:r>
      <w:r w:rsidR="006B7837">
        <w:t>,</w:t>
      </w:r>
      <w:r w:rsidR="00F51BEF">
        <w:t xml:space="preserve"> wg różnych szacunków</w:t>
      </w:r>
      <w:r w:rsidR="006B7837">
        <w:t>,</w:t>
      </w:r>
      <w:r w:rsidR="00F51BEF">
        <w:t xml:space="preserve"> do 20%. </w:t>
      </w:r>
      <w:r w:rsidR="000121F0">
        <w:t xml:space="preserve">Tak wysoka inflacja </w:t>
      </w:r>
      <w:r w:rsidR="0012320C">
        <w:t xml:space="preserve">CPI </w:t>
      </w:r>
      <w:r w:rsidR="009A7258">
        <w:t>(</w:t>
      </w:r>
      <w:proofErr w:type="spellStart"/>
      <w:r w:rsidR="009A7258" w:rsidRPr="00DF1564">
        <w:rPr>
          <w:i/>
          <w:iCs/>
        </w:rPr>
        <w:t>consumer</w:t>
      </w:r>
      <w:proofErr w:type="spellEnd"/>
      <w:r w:rsidR="009A7258" w:rsidRPr="00DF1564">
        <w:rPr>
          <w:i/>
          <w:iCs/>
        </w:rPr>
        <w:t xml:space="preserve"> </w:t>
      </w:r>
      <w:proofErr w:type="spellStart"/>
      <w:r w:rsidR="009A7258" w:rsidRPr="00DF1564">
        <w:rPr>
          <w:i/>
          <w:iCs/>
        </w:rPr>
        <w:t>price</w:t>
      </w:r>
      <w:proofErr w:type="spellEnd"/>
      <w:r w:rsidR="009A7258" w:rsidRPr="00DF1564">
        <w:rPr>
          <w:i/>
          <w:iCs/>
        </w:rPr>
        <w:t xml:space="preserve"> index</w:t>
      </w:r>
      <w:r w:rsidR="009A7258">
        <w:t xml:space="preserve">) </w:t>
      </w:r>
      <w:r w:rsidR="000121F0">
        <w:t xml:space="preserve">będzie następstwem wycofania się rządu z części programów tzw. </w:t>
      </w:r>
      <w:r w:rsidR="009A7258">
        <w:t>t</w:t>
      </w:r>
      <w:r w:rsidR="000121F0">
        <w:t xml:space="preserve">arczy antyinflacyjnej </w:t>
      </w:r>
      <w:r w:rsidR="00AD50AD">
        <w:t>(</w:t>
      </w:r>
      <w:r w:rsidR="00C001BB">
        <w:t>wr</w:t>
      </w:r>
      <w:r w:rsidR="009A7258">
        <w:t>ócił</w:t>
      </w:r>
      <w:r w:rsidR="00C001BB">
        <w:t xml:space="preserve"> m.in. wyższy VAT </w:t>
      </w:r>
      <w:r w:rsidR="0022048B">
        <w:t>na energie i paliwa</w:t>
      </w:r>
      <w:r w:rsidR="00DD5DBA">
        <w:t xml:space="preserve">). </w:t>
      </w:r>
    </w:p>
    <w:p w14:paraId="262F5EE0" w14:textId="1C8E06FF" w:rsidR="0058697C" w:rsidRDefault="00423E2C" w:rsidP="00F96A0B">
      <w:r>
        <w:t xml:space="preserve">Wobec takiego rozwoju zdarzeń rynkowych warto </w:t>
      </w:r>
      <w:r w:rsidR="006B7837">
        <w:t xml:space="preserve">zadać </w:t>
      </w:r>
      <w:r>
        <w:t xml:space="preserve">pytanie czy </w:t>
      </w:r>
      <w:r w:rsidR="005D7FAD">
        <w:t>w ciągu najbliższego kwartału</w:t>
      </w:r>
      <w:r w:rsidR="00A11823">
        <w:t>-półrocza</w:t>
      </w:r>
      <w:r w:rsidR="005D7FAD">
        <w:t xml:space="preserve"> </w:t>
      </w:r>
      <w:r w:rsidR="0089220F">
        <w:t>człon</w:t>
      </w:r>
      <w:r w:rsidR="009A7258">
        <w:t>kowie RPP</w:t>
      </w:r>
      <w:r w:rsidR="0089220F">
        <w:t xml:space="preserve"> </w:t>
      </w:r>
      <w:r w:rsidR="005D7FAD">
        <w:t>nie zdecyduj</w:t>
      </w:r>
      <w:r w:rsidR="009A7258">
        <w:t>ą</w:t>
      </w:r>
      <w:r w:rsidR="005D7FAD">
        <w:t xml:space="preserve"> się </w:t>
      </w:r>
      <w:r w:rsidR="0089220F">
        <w:t>poddać pod głosowanie symbolicznej</w:t>
      </w:r>
      <w:r w:rsidR="00D244C8">
        <w:t xml:space="preserve"> </w:t>
      </w:r>
      <w:r w:rsidR="0089220F">
        <w:t>podwyżki</w:t>
      </w:r>
      <w:r w:rsidR="009A7258">
        <w:t>,</w:t>
      </w:r>
      <w:r w:rsidR="005D7FAD">
        <w:t xml:space="preserve"> </w:t>
      </w:r>
      <w:r w:rsidR="00751D29">
        <w:t xml:space="preserve">np. </w:t>
      </w:r>
      <w:r w:rsidR="005D7FAD">
        <w:t>o 0,25%</w:t>
      </w:r>
      <w:r w:rsidR="009A7258">
        <w:t>,</w:t>
      </w:r>
      <w:r w:rsidR="005D7FAD">
        <w:t xml:space="preserve"> </w:t>
      </w:r>
      <w:r w:rsidR="008127CB">
        <w:t>j</w:t>
      </w:r>
      <w:r w:rsidR="000D4148">
        <w:t>ako odpowiedzi</w:t>
      </w:r>
      <w:r w:rsidR="004D0C8F">
        <w:t xml:space="preserve"> na szczyt wzrostu cen</w:t>
      </w:r>
      <w:r w:rsidR="00E105FD">
        <w:t xml:space="preserve">. W komentarzu do ostatniej decyzji </w:t>
      </w:r>
      <w:r w:rsidR="0008742C">
        <w:t>RPP usłyszeliśmy też wyraźną deklarację prezesa</w:t>
      </w:r>
      <w:r w:rsidR="00BE7DE0">
        <w:t xml:space="preserve"> NBP, Adama Glapińskiego</w:t>
      </w:r>
      <w:r w:rsidR="00C06116">
        <w:t>,</w:t>
      </w:r>
      <w:r w:rsidR="0008742C">
        <w:t xml:space="preserve"> iż to nie koniec cyklu podwyżek stóp </w:t>
      </w:r>
      <w:r w:rsidR="009A7258">
        <w:t>procentowych</w:t>
      </w:r>
      <w:r w:rsidR="00F038BF">
        <w:t xml:space="preserve">. Prezes </w:t>
      </w:r>
      <w:r w:rsidR="006C07F4">
        <w:t>co prawda</w:t>
      </w:r>
      <w:r w:rsidR="00F038BF">
        <w:t xml:space="preserve"> </w:t>
      </w:r>
      <w:r w:rsidR="006C07F4">
        <w:t xml:space="preserve">przyzwyczaił nas do sprzecznych komunikatów </w:t>
      </w:r>
      <w:r w:rsidR="00634342">
        <w:t>względem późniejszych decyzji rady</w:t>
      </w:r>
      <w:r w:rsidR="00F96A0B">
        <w:t xml:space="preserve">, </w:t>
      </w:r>
      <w:r w:rsidR="005F56B4">
        <w:t>jednak</w:t>
      </w:r>
      <w:r w:rsidR="00634342">
        <w:t xml:space="preserve"> </w:t>
      </w:r>
      <w:r w:rsidR="006D0813">
        <w:t xml:space="preserve">byłaby to naturalna reakcja </w:t>
      </w:r>
      <w:r w:rsidR="00437D87">
        <w:t xml:space="preserve">na </w:t>
      </w:r>
      <w:r w:rsidR="00E83E89">
        <w:t>tak wysoką inflację</w:t>
      </w:r>
      <w:r w:rsidR="001416C7">
        <w:t>. Jako ciekawostkę warto</w:t>
      </w:r>
      <w:r w:rsidR="003D1F33">
        <w:t xml:space="preserve"> wspomnieć o</w:t>
      </w:r>
      <w:r w:rsidR="009A7258">
        <w:t>,</w:t>
      </w:r>
      <w:r w:rsidR="003D1F33">
        <w:t xml:space="preserve"> dosyć oderwanej od głównego nurtu prognoz</w:t>
      </w:r>
      <w:r w:rsidR="009A7258">
        <w:t>,</w:t>
      </w:r>
      <w:r w:rsidR="003D1F33">
        <w:t xml:space="preserve"> ocenie sytuacji przez agencję ratingową Fitch</w:t>
      </w:r>
      <w:r w:rsidR="00437D87">
        <w:t xml:space="preserve"> </w:t>
      </w:r>
      <w:r w:rsidR="007B7284">
        <w:t>Solutions</w:t>
      </w:r>
      <w:r w:rsidR="009A7258">
        <w:t>,</w:t>
      </w:r>
      <w:r w:rsidR="007B7284">
        <w:t xml:space="preserve"> </w:t>
      </w:r>
      <w:r w:rsidR="00437D87">
        <w:t xml:space="preserve">która zmieniła ostatnio </w:t>
      </w:r>
      <w:r w:rsidR="00C3360C">
        <w:t xml:space="preserve">swoje wcześniejsze </w:t>
      </w:r>
      <w:r w:rsidR="00437D87">
        <w:t>p</w:t>
      </w:r>
      <w:r w:rsidR="009A7258">
        <w:t>rzewidywania</w:t>
      </w:r>
      <w:r w:rsidR="006820C4">
        <w:t>.</w:t>
      </w:r>
      <w:r w:rsidR="006D0813">
        <w:t xml:space="preserve"> Postawiła</w:t>
      </w:r>
      <w:r w:rsidR="006820C4">
        <w:t xml:space="preserve"> odważną tezę</w:t>
      </w:r>
      <w:r w:rsidR="00C06116">
        <w:t>,</w:t>
      </w:r>
      <w:r w:rsidR="006820C4">
        <w:t xml:space="preserve"> iż stopy </w:t>
      </w:r>
      <w:r w:rsidR="00C06116">
        <w:t xml:space="preserve">procentowe </w:t>
      </w:r>
      <w:r w:rsidR="006820C4">
        <w:t xml:space="preserve">w </w:t>
      </w:r>
      <w:r w:rsidR="0063205F">
        <w:t xml:space="preserve">2023 r. </w:t>
      </w:r>
      <w:r w:rsidR="00E83E89">
        <w:t xml:space="preserve">w Polsce </w:t>
      </w:r>
      <w:r w:rsidR="0063205F">
        <w:t xml:space="preserve">mogą wzrosnąć aż o 1 </w:t>
      </w:r>
      <w:proofErr w:type="spellStart"/>
      <w:r w:rsidR="0063205F">
        <w:t>p.p</w:t>
      </w:r>
      <w:proofErr w:type="spellEnd"/>
      <w:r w:rsidR="0063205F">
        <w:t>.</w:t>
      </w:r>
      <w:r w:rsidR="009A7258">
        <w:t>,</w:t>
      </w:r>
      <w:r w:rsidR="0063205F">
        <w:t xml:space="preserve"> </w:t>
      </w:r>
      <w:r w:rsidR="00E81CE2">
        <w:t xml:space="preserve">aby na koniec </w:t>
      </w:r>
      <w:r w:rsidR="006D0813">
        <w:t xml:space="preserve">br. </w:t>
      </w:r>
      <w:r w:rsidR="00E81CE2">
        <w:t xml:space="preserve">roku zatrzymać się </w:t>
      </w:r>
      <w:r w:rsidR="009A7258">
        <w:t xml:space="preserve">na szczytowym poziomie </w:t>
      </w:r>
      <w:r w:rsidR="006633E6">
        <w:t>7,75%</w:t>
      </w:r>
      <w:r w:rsidR="00EC1499">
        <w:t xml:space="preserve">. Wydaje </w:t>
      </w:r>
      <w:r w:rsidR="00065F7E">
        <w:t>się</w:t>
      </w:r>
      <w:r w:rsidR="00EC1499">
        <w:t xml:space="preserve"> to</w:t>
      </w:r>
      <w:r w:rsidR="00065F7E">
        <w:t xml:space="preserve"> jednak mało prawdopodobnym scenariuszem</w:t>
      </w:r>
      <w:r w:rsidR="006633E6">
        <w:t>.</w:t>
      </w:r>
      <w:r w:rsidR="007D6319">
        <w:t xml:space="preserve"> </w:t>
      </w:r>
    </w:p>
    <w:p w14:paraId="6FEDD4E6" w14:textId="64200615" w:rsidR="0058697C" w:rsidRDefault="007D6319" w:rsidP="00F96A0B">
      <w:r>
        <w:t xml:space="preserve">Bardzo często klienci zadają </w:t>
      </w:r>
      <w:r w:rsidR="002D7D66">
        <w:t>nam</w:t>
      </w:r>
      <w:r w:rsidR="006B7837">
        <w:t>,</w:t>
      </w:r>
      <w:r>
        <w:t xml:space="preserve"> ekspertom </w:t>
      </w:r>
      <w:r w:rsidR="00A252A5">
        <w:t>hipotecznym</w:t>
      </w:r>
      <w:r w:rsidR="006B7837">
        <w:t>,</w:t>
      </w:r>
      <w:r w:rsidR="00A252A5">
        <w:t xml:space="preserve"> </w:t>
      </w:r>
      <w:r>
        <w:t xml:space="preserve">pytanie dotyczące </w:t>
      </w:r>
      <w:r w:rsidR="008409E7">
        <w:t xml:space="preserve">odwrócenia się trendu </w:t>
      </w:r>
      <w:r w:rsidR="004D4291">
        <w:t>i przewidywanego czasu</w:t>
      </w:r>
      <w:r w:rsidR="009A7258">
        <w:t>,</w:t>
      </w:r>
      <w:r w:rsidR="004D4291">
        <w:t xml:space="preserve"> kiedy może to nastąpić</w:t>
      </w:r>
      <w:r w:rsidR="00C06116">
        <w:t>.</w:t>
      </w:r>
      <w:r w:rsidR="004D4291">
        <w:t xml:space="preserve"> </w:t>
      </w:r>
      <w:r w:rsidR="001416C7">
        <w:t>Mało osób odważy się wskazać termin</w:t>
      </w:r>
      <w:r w:rsidR="007B7284">
        <w:t>,</w:t>
      </w:r>
      <w:r w:rsidR="001416C7">
        <w:t xml:space="preserve"> jednak można postawić tezę</w:t>
      </w:r>
      <w:r w:rsidR="009A7258">
        <w:t>,</w:t>
      </w:r>
      <w:r w:rsidR="001416C7">
        <w:t xml:space="preserve"> iż obecne stopy </w:t>
      </w:r>
      <w:r w:rsidR="00C06116">
        <w:t xml:space="preserve">procentowe </w:t>
      </w:r>
      <w:r w:rsidR="001416C7">
        <w:t>mogą pozostać z nami jeszcze</w:t>
      </w:r>
      <w:r w:rsidR="004D0C8F">
        <w:t xml:space="preserve"> </w:t>
      </w:r>
      <w:r w:rsidR="001416C7">
        <w:t xml:space="preserve">rok </w:t>
      </w:r>
      <w:r w:rsidR="00C06116">
        <w:t xml:space="preserve">- </w:t>
      </w:r>
      <w:r w:rsidR="001416C7">
        <w:t>dwa</w:t>
      </w:r>
      <w:r w:rsidR="009E54E7">
        <w:t xml:space="preserve"> z drobną ewentualną korektą w dół w okresie </w:t>
      </w:r>
      <w:r w:rsidR="00D32DB1">
        <w:t>gorącej kampanii wyborczej</w:t>
      </w:r>
      <w:r w:rsidR="00C06116">
        <w:t>,</w:t>
      </w:r>
      <w:r w:rsidR="00D32DB1">
        <w:t xml:space="preserve"> w trwającym </w:t>
      </w:r>
      <w:r w:rsidR="00D37E77">
        <w:t xml:space="preserve">obecnie </w:t>
      </w:r>
      <w:r w:rsidR="00D32DB1">
        <w:t>roku wyborczym.</w:t>
      </w:r>
      <w:r w:rsidR="001416C7">
        <w:t xml:space="preserve"> Można za to wska</w:t>
      </w:r>
      <w:r w:rsidR="0012320C">
        <w:t xml:space="preserve">zać dwa czynniki </w:t>
      </w:r>
      <w:r w:rsidR="001416C7">
        <w:t>tj. wyhamow</w:t>
      </w:r>
      <w:r w:rsidR="0012320C">
        <w:t>anie</w:t>
      </w:r>
      <w:r w:rsidR="00EC1499">
        <w:t xml:space="preserve"> </w:t>
      </w:r>
      <w:r w:rsidR="001416C7">
        <w:t>wzrostu</w:t>
      </w:r>
      <w:r w:rsidR="00C06116">
        <w:t>,</w:t>
      </w:r>
      <w:r w:rsidR="001416C7">
        <w:t xml:space="preserve"> a następnie </w:t>
      </w:r>
      <w:r w:rsidR="00EC1499" w:rsidRPr="00EC1499">
        <w:t xml:space="preserve">trwały trend </w:t>
      </w:r>
      <w:r w:rsidR="00EC1499">
        <w:t>spadku</w:t>
      </w:r>
      <w:r w:rsidR="001416C7">
        <w:t xml:space="preserve"> inflacji bazowej</w:t>
      </w:r>
      <w:r w:rsidR="0012320C">
        <w:t xml:space="preserve"> (bez cen energii i cen żywności)</w:t>
      </w:r>
      <w:r w:rsidR="001416C7">
        <w:t xml:space="preserve"> oraz </w:t>
      </w:r>
      <w:r w:rsidR="007B7284">
        <w:t>ewentualne wyraźne spowolnienie</w:t>
      </w:r>
      <w:r w:rsidR="00C06116">
        <w:t xml:space="preserve"> </w:t>
      </w:r>
      <w:r w:rsidR="001416C7">
        <w:t>polskiej gospodarki</w:t>
      </w:r>
      <w:r w:rsidR="007B7284">
        <w:t>. Wskaźniki te zapewne mogą zwiastować zmianę podejścia RPP do polityki monetarnej</w:t>
      </w:r>
      <w:r w:rsidR="001416C7">
        <w:t xml:space="preserve">. </w:t>
      </w:r>
      <w:r w:rsidR="00E04204">
        <w:t xml:space="preserve">Media odnotowały ostatnio </w:t>
      </w:r>
      <w:r w:rsidR="00DD4086">
        <w:t>wzmiankę</w:t>
      </w:r>
      <w:r w:rsidR="00C06116">
        <w:t>,</w:t>
      </w:r>
      <w:r w:rsidR="00E04204">
        <w:t xml:space="preserve"> </w:t>
      </w:r>
      <w:r w:rsidR="0012320C">
        <w:t>iż</w:t>
      </w:r>
      <w:r w:rsidR="00E04204">
        <w:t xml:space="preserve"> </w:t>
      </w:r>
      <w:r w:rsidR="0012320C">
        <w:t>rząd bardzo mocno rozważa</w:t>
      </w:r>
      <w:r w:rsidR="00F50D77">
        <w:t xml:space="preserve"> wydłużenie ustawowych wakacji kredytowych na rok 2024</w:t>
      </w:r>
      <w:r w:rsidR="00C06116">
        <w:t>,</w:t>
      </w:r>
      <w:r w:rsidR="00F50D77">
        <w:t xml:space="preserve"> </w:t>
      </w:r>
      <w:r w:rsidR="00D43F0A">
        <w:t>a t</w:t>
      </w:r>
      <w:r w:rsidR="00F50D77">
        <w:t xml:space="preserve">o poniekąd również może być sygnałem świadczącym </w:t>
      </w:r>
      <w:r w:rsidR="00C06116">
        <w:t xml:space="preserve">o tym, </w:t>
      </w:r>
      <w:r w:rsidR="00F50D77">
        <w:t xml:space="preserve">iż </w:t>
      </w:r>
      <w:r w:rsidR="00CD1468">
        <w:t>w tym roku nie</w:t>
      </w:r>
      <w:r w:rsidR="00D43F0A">
        <w:t xml:space="preserve"> będzie warunków do</w:t>
      </w:r>
      <w:r w:rsidR="00CD1468">
        <w:t xml:space="preserve"> luzowani</w:t>
      </w:r>
      <w:r w:rsidR="00D43F0A">
        <w:t>a</w:t>
      </w:r>
      <w:r w:rsidR="00CD1468">
        <w:t xml:space="preserve"> polityki monetarnej.</w:t>
      </w:r>
      <w:r w:rsidR="001416C7">
        <w:t xml:space="preserve"> </w:t>
      </w:r>
      <w:r w:rsidR="00CD1468">
        <w:t xml:space="preserve"> </w:t>
      </w:r>
    </w:p>
    <w:p w14:paraId="28ED2343" w14:textId="02C2F044" w:rsidR="0058697C" w:rsidRDefault="00594711" w:rsidP="00F96A0B">
      <w:r>
        <w:t xml:space="preserve">Jako ekspert rynku zachęcam do śledzenia </w:t>
      </w:r>
      <w:r w:rsidR="00680939">
        <w:t>kosztu pieniądza na rynku międzybankowym</w:t>
      </w:r>
      <w:r w:rsidR="00C06116">
        <w:t>,</w:t>
      </w:r>
      <w:r w:rsidR="00680939">
        <w:t xml:space="preserve"> który </w:t>
      </w:r>
      <w:r w:rsidR="00F45BB7">
        <w:t xml:space="preserve">obrazują wskaźniki </w:t>
      </w:r>
      <w:r w:rsidR="00733C0C">
        <w:t xml:space="preserve">m.in. </w:t>
      </w:r>
      <w:r w:rsidR="00F45BB7">
        <w:t>WIBOR</w:t>
      </w:r>
      <w:r w:rsidR="00065F7E">
        <w:t xml:space="preserve"> </w:t>
      </w:r>
      <w:r w:rsidR="00F45BB7">
        <w:t>3M, 6M</w:t>
      </w:r>
      <w:r w:rsidR="00CB7757">
        <w:t xml:space="preserve"> </w:t>
      </w:r>
      <w:r w:rsidR="00065F7E">
        <w:t xml:space="preserve">oraz </w:t>
      </w:r>
      <w:r w:rsidR="00C53525">
        <w:t>kontraktów</w:t>
      </w:r>
      <w:r w:rsidR="00065F7E">
        <w:t xml:space="preserve"> </w:t>
      </w:r>
      <w:r w:rsidR="00C53525">
        <w:t xml:space="preserve">terminowych FRA na stopy </w:t>
      </w:r>
      <w:r w:rsidR="00C06116">
        <w:t>procentowe</w:t>
      </w:r>
      <w:r w:rsidR="00C53525">
        <w:t xml:space="preserve">, </w:t>
      </w:r>
      <w:r w:rsidR="00CB7757">
        <w:t xml:space="preserve">mogą być one pomocne przy wyborze oprocentowania </w:t>
      </w:r>
      <w:r w:rsidR="006E7FC0">
        <w:t>kredytu hipotecznego dla nowych klientów.</w:t>
      </w:r>
    </w:p>
    <w:p w14:paraId="2755C723" w14:textId="0AEA9FA7" w:rsidR="0058697C" w:rsidRDefault="00041602" w:rsidP="00F96A0B">
      <w:r>
        <w:t>Przypominam jednocześnie</w:t>
      </w:r>
      <w:r w:rsidR="00C06116">
        <w:t>,</w:t>
      </w:r>
      <w:r>
        <w:t xml:space="preserve"> że od grudnia 2022</w:t>
      </w:r>
      <w:r w:rsidR="00C06116">
        <w:t xml:space="preserve"> roku</w:t>
      </w:r>
      <w:r>
        <w:t xml:space="preserve"> banki mają możliwość oferowania kredytu opartego o nowy wskaźnik </w:t>
      </w:r>
      <w:r w:rsidR="008210DB">
        <w:t>WIRON</w:t>
      </w:r>
      <w:r>
        <w:t xml:space="preserve">. W styczniu </w:t>
      </w:r>
      <w:r w:rsidR="00733C0C">
        <w:t>odno</w:t>
      </w:r>
      <w:r w:rsidR="008210DB">
        <w:t>towaliśmy pierwszą transakcj</w:t>
      </w:r>
      <w:r w:rsidR="00C06116">
        <w:t>ę</w:t>
      </w:r>
      <w:r w:rsidR="008210DB">
        <w:t xml:space="preserve"> międzybankową</w:t>
      </w:r>
      <w:r>
        <w:t xml:space="preserve"> </w:t>
      </w:r>
      <w:r w:rsidR="008210DB">
        <w:t>w oparciu o ten wskaźnik</w:t>
      </w:r>
      <w:r w:rsidR="00C06116">
        <w:t>,</w:t>
      </w:r>
      <w:r w:rsidR="008210DB">
        <w:t xml:space="preserve"> której</w:t>
      </w:r>
      <w:r w:rsidR="00D37E77">
        <w:t xml:space="preserve"> uczestnikami były ING i PKO BP</w:t>
      </w:r>
      <w:r w:rsidR="00E13165">
        <w:t xml:space="preserve">. Jednak nie przekłada się to na </w:t>
      </w:r>
      <w:r w:rsidR="00E13165">
        <w:lastRenderedPageBreak/>
        <w:t>dostępność ofert w bankach</w:t>
      </w:r>
      <w:r w:rsidR="00C06116">
        <w:t>,</w:t>
      </w:r>
      <w:r w:rsidR="00E13165">
        <w:t xml:space="preserve"> a wręcz przeciwnie </w:t>
      </w:r>
      <w:r w:rsidR="00FF0550">
        <w:t xml:space="preserve">tj. ING i BNP </w:t>
      </w:r>
      <w:proofErr w:type="spellStart"/>
      <w:r w:rsidR="00FF0550">
        <w:t>Paribas</w:t>
      </w:r>
      <w:proofErr w:type="spellEnd"/>
      <w:r w:rsidR="00FF0550">
        <w:t xml:space="preserve"> wycofały </w:t>
      </w:r>
      <w:r w:rsidR="00C06116">
        <w:t xml:space="preserve">tymczasowo </w:t>
      </w:r>
      <w:r w:rsidR="00FF0550">
        <w:t xml:space="preserve">ze swojej oferty zmienne </w:t>
      </w:r>
      <w:r w:rsidR="00C06116">
        <w:t>oprocentowanie,</w:t>
      </w:r>
      <w:r w:rsidR="00FF0550">
        <w:t xml:space="preserve"> dając sobie czas na dostosowanie</w:t>
      </w:r>
      <w:r w:rsidR="00C475C1">
        <w:t xml:space="preserve"> operacyjne do proponowania tego typu ofert. </w:t>
      </w:r>
      <w:r w:rsidR="00456303">
        <w:t xml:space="preserve">Rynek spodziewa się powszechnej dostępności </w:t>
      </w:r>
      <w:r w:rsidR="00E65B2D">
        <w:t>kredytów opartych o ten wskaźnik</w:t>
      </w:r>
      <w:r w:rsidR="006E390C">
        <w:t xml:space="preserve"> w drugiej połowie 2023 r. </w:t>
      </w:r>
    </w:p>
    <w:p w14:paraId="3F207D23" w14:textId="5FC12D2F" w:rsidR="008A2C82" w:rsidRDefault="0012320C" w:rsidP="00F96A0B">
      <w:r>
        <w:t>Rynek</w:t>
      </w:r>
      <w:r w:rsidR="006D0813">
        <w:t>,</w:t>
      </w:r>
      <w:r>
        <w:t xml:space="preserve"> jak i w</w:t>
      </w:r>
      <w:r w:rsidR="00E1311E">
        <w:t>ielu klientów</w:t>
      </w:r>
      <w:r w:rsidR="006D0813">
        <w:t>,</w:t>
      </w:r>
      <w:r w:rsidR="00E1311E">
        <w:t xml:space="preserve"> oczekuje natomiast decyzji KNF dotyczącej obniżenia </w:t>
      </w:r>
      <w:r w:rsidR="006A2F42">
        <w:t xml:space="preserve">wskaźnika buforu </w:t>
      </w:r>
      <w:r w:rsidR="00A47159">
        <w:t>związanego z ryzykiem</w:t>
      </w:r>
      <w:r w:rsidR="00C53525">
        <w:t xml:space="preserve"> zmiany stopy </w:t>
      </w:r>
      <w:r w:rsidR="006D0813">
        <w:t>procentowej</w:t>
      </w:r>
      <w:r>
        <w:t>,</w:t>
      </w:r>
      <w:r w:rsidR="00C53525">
        <w:t xml:space="preserve"> </w:t>
      </w:r>
      <w:r>
        <w:t xml:space="preserve">który </w:t>
      </w:r>
      <w:r w:rsidR="006D0813">
        <w:t>wynosi obecnie</w:t>
      </w:r>
      <w:r>
        <w:t xml:space="preserve"> 5 %</w:t>
      </w:r>
      <w:r w:rsidR="006D0813">
        <w:t>,</w:t>
      </w:r>
      <w:r>
        <w:t xml:space="preserve"> względem 2,5% z </w:t>
      </w:r>
      <w:r w:rsidR="00566336">
        <w:t>marca</w:t>
      </w:r>
      <w:r>
        <w:t xml:space="preserve"> 2022 r.</w:t>
      </w:r>
      <w:r w:rsidR="006D0813">
        <w:t>,</w:t>
      </w:r>
      <w:r>
        <w:t xml:space="preserve"> </w:t>
      </w:r>
      <w:r w:rsidR="006A2F42">
        <w:t xml:space="preserve">co zdecydowanie </w:t>
      </w:r>
      <w:r w:rsidR="004D0C8F">
        <w:t>zwiększy</w:t>
      </w:r>
      <w:r w:rsidR="002B33C0">
        <w:t>łoby</w:t>
      </w:r>
      <w:r w:rsidR="006A2F42">
        <w:t xml:space="preserve"> zdolność kredytową Polaków i sprawiłoby</w:t>
      </w:r>
      <w:r w:rsidR="006D0813">
        <w:t>,</w:t>
      </w:r>
      <w:r w:rsidR="006A2F42">
        <w:t xml:space="preserve"> </w:t>
      </w:r>
      <w:r w:rsidR="00D801FD">
        <w:t xml:space="preserve">że </w:t>
      </w:r>
      <w:r w:rsidR="006A2F42">
        <w:t xml:space="preserve">kredyt </w:t>
      </w:r>
      <w:r w:rsidR="00D801FD">
        <w:t>hipoteczny b</w:t>
      </w:r>
      <w:r w:rsidR="00EC1499">
        <w:t>yłby</w:t>
      </w:r>
      <w:r w:rsidR="00D801FD">
        <w:t xml:space="preserve"> bardziej dostępny dla szerszego grona klientów</w:t>
      </w:r>
      <w:r w:rsidR="00A47159">
        <w:t xml:space="preserve">. Jest to </w:t>
      </w:r>
      <w:r w:rsidR="00F96A0B">
        <w:t xml:space="preserve">perspektywa </w:t>
      </w:r>
      <w:r w:rsidR="00A47159">
        <w:t xml:space="preserve">możliwa </w:t>
      </w:r>
      <w:r w:rsidR="00F96A0B">
        <w:t xml:space="preserve">już na </w:t>
      </w:r>
      <w:r w:rsidR="006D0813">
        <w:t xml:space="preserve">początku </w:t>
      </w:r>
      <w:r w:rsidR="00F96A0B">
        <w:t>2023 r</w:t>
      </w:r>
      <w:r w:rsidR="00D801FD">
        <w:t xml:space="preserve">. </w:t>
      </w:r>
      <w:r w:rsidR="00C53525">
        <w:t>Dodatkowym bodźcem do odbicia dla rynku</w:t>
      </w:r>
      <w:r w:rsidR="00F96A0B">
        <w:t xml:space="preserve"> </w:t>
      </w:r>
      <w:r w:rsidR="008210DB">
        <w:t>może być</w:t>
      </w:r>
      <w:r w:rsidR="00C53525">
        <w:t xml:space="preserve"> wprowadzenie zapowiadanego </w:t>
      </w:r>
      <w:r>
        <w:t xml:space="preserve">na </w:t>
      </w:r>
      <w:r w:rsidR="006D0813">
        <w:t>trzeci</w:t>
      </w:r>
      <w:r>
        <w:t xml:space="preserve"> kwartał br. </w:t>
      </w:r>
      <w:r w:rsidR="00C53525">
        <w:t>rządowego programu bezpieczny kredyt 2 %.</w:t>
      </w:r>
      <w:r w:rsidR="006D0813">
        <w:t xml:space="preserve"> W</w:t>
      </w:r>
      <w:r w:rsidR="00C53525">
        <w:t>arto zauważyć</w:t>
      </w:r>
      <w:r w:rsidR="006D0813">
        <w:t>,</w:t>
      </w:r>
      <w:r w:rsidR="00C53525">
        <w:t xml:space="preserve"> że obecny rok wyborczy powinien obfitować w </w:t>
      </w:r>
      <w:r w:rsidR="006D0813">
        <w:t xml:space="preserve">różne </w:t>
      </w:r>
      <w:r w:rsidR="00C53525">
        <w:t xml:space="preserve">pomysły na rozwiązanie problemów rynku mieszkaniowego i wyznaczenie dla niego jasnych kierunków rozwoju. Wobec tak dużego zainteresowania wyborców tematem drogich kredytów w ostatnim czasie i dynamicznego wzrostu stóp </w:t>
      </w:r>
      <w:r w:rsidR="006D0813">
        <w:t>procentowych</w:t>
      </w:r>
      <w:r w:rsidR="00C53525">
        <w:t xml:space="preserve"> pozostaje wierzyć</w:t>
      </w:r>
      <w:r w:rsidR="006D0813">
        <w:t>,</w:t>
      </w:r>
      <w:r w:rsidR="00C53525">
        <w:t xml:space="preserve"> iż temat polityki mieszkaniowej w Polsce stanie się jednym z głównych filarów kampanii wyborczej</w:t>
      </w:r>
      <w:r w:rsidR="004E1E5D">
        <w:t>,</w:t>
      </w:r>
      <w:r w:rsidR="00C53525">
        <w:t xml:space="preserve"> a to przyniesie </w:t>
      </w:r>
      <w:r w:rsidR="00260B25">
        <w:t xml:space="preserve">realne </w:t>
      </w:r>
      <w:r w:rsidR="00C53525">
        <w:t xml:space="preserve">korzystne rozwiązania legislacyjne i nadzieje dla wciąż dużej ilości polskich rodzin bez własnego M. </w:t>
      </w:r>
      <w:r w:rsidR="00733C0C">
        <w:t>Dla klientów</w:t>
      </w:r>
      <w:r w:rsidR="004E1E5D">
        <w:t>,</w:t>
      </w:r>
      <w:r w:rsidR="00733C0C">
        <w:t xml:space="preserve"> którzy zastanawiają </w:t>
      </w:r>
      <w:r w:rsidR="002366DF">
        <w:t>się nad zakupem</w:t>
      </w:r>
      <w:r w:rsidR="00733C0C">
        <w:t xml:space="preserve"> nieruchomości warto wspomnieć o spadku noworozpoczynanych budów przez deweloperów</w:t>
      </w:r>
      <w:r w:rsidR="00670D07">
        <w:t xml:space="preserve">. Na podstawie </w:t>
      </w:r>
      <w:r w:rsidR="002D6D23">
        <w:t xml:space="preserve">ostatnich </w:t>
      </w:r>
      <w:r w:rsidR="00670D07">
        <w:t xml:space="preserve">danych </w:t>
      </w:r>
      <w:r w:rsidR="002D6D23">
        <w:t xml:space="preserve">GUS </w:t>
      </w:r>
      <w:r w:rsidR="00A47159">
        <w:t>za grudzień 2022</w:t>
      </w:r>
      <w:r w:rsidR="004E1E5D">
        <w:t xml:space="preserve"> r.,</w:t>
      </w:r>
      <w:r w:rsidR="00670D07">
        <w:t xml:space="preserve"> jest to spadek o połowę do </w:t>
      </w:r>
      <w:r w:rsidR="002366DF">
        <w:t xml:space="preserve">mniej niż </w:t>
      </w:r>
      <w:r w:rsidR="00670D07">
        <w:t xml:space="preserve">7000 z 14 000 </w:t>
      </w:r>
      <w:r w:rsidR="008210DB">
        <w:t xml:space="preserve">r/r. </w:t>
      </w:r>
      <w:r w:rsidR="00A47159">
        <w:t>Taki stan rzeczy odzwierciedla</w:t>
      </w:r>
      <w:r w:rsidR="008210DB">
        <w:t xml:space="preserve"> </w:t>
      </w:r>
      <w:r w:rsidR="002366DF">
        <w:t>nastroje deweloperów</w:t>
      </w:r>
      <w:r w:rsidR="004E1E5D">
        <w:t>,</w:t>
      </w:r>
      <w:r w:rsidR="002366DF">
        <w:t xml:space="preserve"> </w:t>
      </w:r>
      <w:r w:rsidR="008210DB">
        <w:t xml:space="preserve">którzy wobec tak dużego spowolnienia w </w:t>
      </w:r>
      <w:r w:rsidR="000D4148">
        <w:t xml:space="preserve">swojej </w:t>
      </w:r>
      <w:r w:rsidR="008210DB">
        <w:t>branży wstrzymują realizacje nowych inwestycji</w:t>
      </w:r>
      <w:r w:rsidR="002366DF">
        <w:t>. Efekt t</w:t>
      </w:r>
      <w:r w:rsidR="004E1E5D">
        <w:t>ych działań</w:t>
      </w:r>
      <w:r w:rsidR="002366DF">
        <w:t xml:space="preserve"> klienci zauważą w momencie</w:t>
      </w:r>
      <w:r w:rsidR="004E1E5D">
        <w:t>,</w:t>
      </w:r>
      <w:r w:rsidR="002366DF">
        <w:t xml:space="preserve"> kiedy kredyt </w:t>
      </w:r>
      <w:r w:rsidR="008210DB">
        <w:t>stanie</w:t>
      </w:r>
      <w:r w:rsidR="002366DF">
        <w:t xml:space="preserve"> się bardziej dostępny</w:t>
      </w:r>
      <w:r w:rsidR="004E1E5D">
        <w:t>,</w:t>
      </w:r>
      <w:r w:rsidR="002366DF">
        <w:t xml:space="preserve"> a podaż na rynku nieruchomości </w:t>
      </w:r>
      <w:r w:rsidR="00EC1499">
        <w:t xml:space="preserve">będzie </w:t>
      </w:r>
      <w:r w:rsidR="002366DF">
        <w:t>niska</w:t>
      </w:r>
      <w:r w:rsidR="004E1E5D">
        <w:t>,</w:t>
      </w:r>
      <w:r w:rsidR="002366DF">
        <w:t xml:space="preserve"> co zapewne kolejny raz wywinduje ceny nieruchomości w górę</w:t>
      </w:r>
      <w:r w:rsidR="004E1E5D">
        <w:t>,</w:t>
      </w:r>
      <w:r w:rsidR="000D4148">
        <w:t xml:space="preserve"> a przynajmniej utrzyma je na </w:t>
      </w:r>
      <w:r w:rsidR="002D6D23">
        <w:t>wysokim</w:t>
      </w:r>
      <w:r w:rsidR="000D4148">
        <w:t xml:space="preserve"> poziomie</w:t>
      </w:r>
      <w:r w:rsidR="002366DF">
        <w:t xml:space="preserve">. </w:t>
      </w:r>
      <w:r w:rsidR="00D37E77">
        <w:t>Warto zauważyć</w:t>
      </w:r>
      <w:r w:rsidR="004E1E5D">
        <w:t>,</w:t>
      </w:r>
      <w:r w:rsidR="00D37E77">
        <w:t xml:space="preserve"> iż w dobie obecnej trudnej sytuacji </w:t>
      </w:r>
      <w:r w:rsidR="00F96A0B">
        <w:t xml:space="preserve">rynkowej </w:t>
      </w:r>
      <w:r w:rsidR="00D37E77">
        <w:t xml:space="preserve">udział </w:t>
      </w:r>
      <w:r w:rsidR="008210DB">
        <w:t>pośredników</w:t>
      </w:r>
      <w:r w:rsidR="00D37E77">
        <w:t xml:space="preserve"> hipotecznych </w:t>
      </w:r>
      <w:r w:rsidR="00F96A0B">
        <w:t xml:space="preserve">w obsłudze kredytów </w:t>
      </w:r>
      <w:r w:rsidR="008210DB">
        <w:t>(blisko 70 % składanych wniosków jest ich udziałem)</w:t>
      </w:r>
      <w:r w:rsidR="004E1E5D">
        <w:t>,</w:t>
      </w:r>
      <w:r w:rsidR="008210DB">
        <w:t xml:space="preserve"> </w:t>
      </w:r>
      <w:r w:rsidR="00F96A0B">
        <w:t>jeszcze nigdy nie był tak wysoki</w:t>
      </w:r>
      <w:r w:rsidR="0018585D">
        <w:t>,</w:t>
      </w:r>
      <w:r w:rsidR="00F96A0B">
        <w:t xml:space="preserve"> co wprost odzwierciedla jakość świadczonych </w:t>
      </w:r>
      <w:r w:rsidR="00A47159">
        <w:t xml:space="preserve">przez nich </w:t>
      </w:r>
      <w:r w:rsidR="00F96A0B">
        <w:t xml:space="preserve">usług i potrzebę ich pomocy. </w:t>
      </w:r>
    </w:p>
    <w:p w14:paraId="7D45164B" w14:textId="77777777" w:rsidR="008A2C82" w:rsidRPr="00DF1564" w:rsidRDefault="008A2C82" w:rsidP="008A2C82">
      <w:pPr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bookmarkStart w:id="0" w:name="_Hlk126105386"/>
      <w:r w:rsidRPr="00DF1564">
        <w:rPr>
          <w:rFonts w:eastAsia="Times New Roman" w:cstheme="minorHAnsi"/>
          <w:b/>
          <w:bCs/>
          <w:color w:val="000000"/>
          <w:u w:val="single"/>
          <w:lang w:eastAsia="pl-PL"/>
        </w:rPr>
        <w:t>Wyliczenia i przykład:</w:t>
      </w:r>
    </w:p>
    <w:p w14:paraId="5E75305C" w14:textId="77777777" w:rsidR="008A2C82" w:rsidRDefault="008A2C82" w:rsidP="008A2C82">
      <w:pPr>
        <w:jc w:val="both"/>
        <w:rPr>
          <w:rFonts w:eastAsia="Times New Roman" w:cstheme="minorHAnsi"/>
          <w:color w:val="000000"/>
          <w:u w:val="single"/>
          <w:lang w:eastAsia="pl-PL"/>
        </w:rPr>
      </w:pPr>
      <w:r>
        <w:t xml:space="preserve">Poniższa tabela zawiera przykładowe obliczenia wysokości raty kredytu z marżą </w:t>
      </w:r>
      <w:r>
        <w:rPr>
          <w:b/>
        </w:rPr>
        <w:t>1,79 %</w:t>
      </w:r>
      <w:r>
        <w:t xml:space="preserve"> zaciągniętego na okres </w:t>
      </w:r>
      <w:r>
        <w:rPr>
          <w:b/>
        </w:rPr>
        <w:t>30 lat.</w:t>
      </w:r>
      <w:r>
        <w:t xml:space="preserve"> Pierwszy wiersz zawiera przykładowe stawki stopy referencyjnej z gradacją o </w:t>
      </w:r>
      <w:r>
        <w:rPr>
          <w:b/>
        </w:rPr>
        <w:t>+ 25</w:t>
      </w:r>
      <w:r>
        <w:t xml:space="preserve"> punktów bazowych. Symulacja prezentuje wzrost raty kapitałowo - odsetkowej odpowiednio dla 5 różnych wariantów</w:t>
      </w:r>
    </w:p>
    <w:p w14:paraId="50CD0FAA" w14:textId="77777777" w:rsidR="008A2C82" w:rsidRPr="00752B8F" w:rsidRDefault="008A2C82" w:rsidP="008A2C82">
      <w:pPr>
        <w:jc w:val="both"/>
        <w:rPr>
          <w:rFonts w:eastAsia="Times New Roman" w:cstheme="minorHAnsi"/>
          <w:color w:val="222222"/>
          <w:u w:val="single"/>
          <w:lang w:eastAsia="pl-PL"/>
        </w:rPr>
      </w:pPr>
    </w:p>
    <w:tbl>
      <w:tblPr>
        <w:tblW w:w="90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  <w:gridCol w:w="1619"/>
        <w:gridCol w:w="1381"/>
      </w:tblGrid>
      <w:tr w:rsidR="008A2C82" w:rsidRPr="00752B8F" w14:paraId="05245345" w14:textId="77777777" w:rsidTr="00FE177D">
        <w:trPr>
          <w:trHeight w:val="345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EC938" w14:textId="77777777" w:rsidR="008A2C82" w:rsidRPr="00752B8F" w:rsidRDefault="008A2C82" w:rsidP="00FE177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A48BB" w14:textId="77777777" w:rsidR="008A2C82" w:rsidRPr="00EF7BE3" w:rsidRDefault="008A2C82" w:rsidP="00FE177D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lang w:val="pl" w:eastAsia="pl-PL"/>
              </w:rPr>
            </w:pPr>
            <w:proofErr w:type="spellStart"/>
            <w:r w:rsidRPr="00EF7BE3">
              <w:rPr>
                <w:rFonts w:ascii="Calibri" w:eastAsia="Calibri" w:hAnsi="Calibri" w:cs="Calibri"/>
                <w:b/>
                <w:bCs/>
                <w:lang w:val="pl" w:eastAsia="pl-PL"/>
              </w:rPr>
              <w:t>Wibor</w:t>
            </w:r>
            <w:proofErr w:type="spellEnd"/>
            <w:r w:rsidRPr="00EF7BE3">
              <w:rPr>
                <w:rFonts w:ascii="Calibri" w:eastAsia="Calibri" w:hAnsi="Calibri" w:cs="Calibri"/>
                <w:b/>
                <w:bCs/>
                <w:lang w:val="pl" w:eastAsia="pl-PL"/>
              </w:rPr>
              <w:t xml:space="preserve"> 3M 6,95%</w:t>
            </w:r>
          </w:p>
          <w:p w14:paraId="0724EA2E" w14:textId="597D6C6F" w:rsidR="008A2C82" w:rsidRPr="00EF7BE3" w:rsidRDefault="008A2C82" w:rsidP="00FE177D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lang w:val="pl" w:eastAsia="pl-PL"/>
              </w:rPr>
            </w:pPr>
            <w:r w:rsidRPr="00EF7BE3">
              <w:rPr>
                <w:rFonts w:ascii="Calibri" w:eastAsia="Calibri" w:hAnsi="Calibri" w:cs="Calibri"/>
                <w:b/>
                <w:bCs/>
                <w:lang w:val="pl" w:eastAsia="pl-PL"/>
              </w:rPr>
              <w:t>(31.01.2023</w:t>
            </w:r>
            <w:r w:rsidR="00EF7BE3" w:rsidRPr="00EF7BE3">
              <w:rPr>
                <w:rFonts w:ascii="Calibri" w:eastAsia="Calibri" w:hAnsi="Calibri" w:cs="Calibri"/>
                <w:b/>
                <w:bCs/>
                <w:lang w:val="pl" w:eastAsia="pl-PL"/>
              </w:rPr>
              <w:t xml:space="preserve"> r.</w:t>
            </w:r>
            <w:r w:rsidRPr="00EF7BE3">
              <w:rPr>
                <w:rFonts w:ascii="Calibri" w:eastAsia="Calibri" w:hAnsi="Calibri" w:cs="Calibri"/>
                <w:b/>
                <w:bCs/>
                <w:lang w:val="pl" w:eastAsia="pl-PL"/>
              </w:rPr>
              <w:t>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89BB0" w14:textId="77777777" w:rsidR="008A2C82" w:rsidRPr="00EF7BE3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</w:pPr>
            <w:proofErr w:type="spellStart"/>
            <w:r w:rsidRPr="00EF7BE3">
              <w:rPr>
                <w:rFonts w:ascii="Calibri" w:eastAsia="Calibri" w:hAnsi="Calibri" w:cs="Calibri"/>
                <w:b/>
                <w:bCs/>
                <w:lang w:val="pl" w:eastAsia="pl-PL"/>
              </w:rPr>
              <w:t>Wibor</w:t>
            </w:r>
            <w:proofErr w:type="spellEnd"/>
            <w:r w:rsidRPr="00EF7BE3">
              <w:rPr>
                <w:rFonts w:ascii="Calibri" w:eastAsia="Calibri" w:hAnsi="Calibri" w:cs="Calibri"/>
                <w:b/>
                <w:bCs/>
                <w:lang w:val="pl" w:eastAsia="pl-PL"/>
              </w:rPr>
              <w:t xml:space="preserve"> 3M 7,20% (+0,25%)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97286" w14:textId="77777777" w:rsidR="008A2C82" w:rsidRPr="00EF7BE3" w:rsidRDefault="008A2C82" w:rsidP="00FE177D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lang w:val="pl" w:eastAsia="pl-PL"/>
              </w:rPr>
            </w:pPr>
            <w:proofErr w:type="spellStart"/>
            <w:r w:rsidRPr="00EF7BE3">
              <w:rPr>
                <w:rFonts w:ascii="Calibri" w:eastAsia="Calibri" w:hAnsi="Calibri" w:cs="Calibri"/>
                <w:b/>
                <w:bCs/>
                <w:lang w:val="pl" w:eastAsia="pl-PL"/>
              </w:rPr>
              <w:t>Wibor</w:t>
            </w:r>
            <w:proofErr w:type="spellEnd"/>
            <w:r w:rsidRPr="00EF7BE3">
              <w:rPr>
                <w:rFonts w:ascii="Calibri" w:eastAsia="Calibri" w:hAnsi="Calibri" w:cs="Calibri"/>
                <w:b/>
                <w:bCs/>
                <w:lang w:val="pl" w:eastAsia="pl-PL"/>
              </w:rPr>
              <w:t xml:space="preserve"> 3M 7,45% (+0,5%)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B5261" w14:textId="77777777" w:rsidR="008A2C82" w:rsidRPr="00EF7BE3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</w:pPr>
            <w:proofErr w:type="spellStart"/>
            <w:r w:rsidRPr="00EF7BE3"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  <w:t>Wibor</w:t>
            </w:r>
            <w:proofErr w:type="spellEnd"/>
            <w:r w:rsidRPr="00EF7BE3"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  <w:t xml:space="preserve"> 3M 7,70</w:t>
            </w:r>
            <w:proofErr w:type="gramStart"/>
            <w:r w:rsidRPr="00EF7BE3"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  <w:t>%(</w:t>
            </w:r>
            <w:proofErr w:type="gramEnd"/>
            <w:r w:rsidRPr="00EF7BE3"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  <w:t>+0,75%)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40299" w14:textId="77777777" w:rsidR="008A2C82" w:rsidRPr="00EF7BE3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</w:pPr>
            <w:proofErr w:type="spellStart"/>
            <w:r w:rsidRPr="00EF7BE3">
              <w:rPr>
                <w:rFonts w:ascii="Calibri" w:eastAsia="Calibri" w:hAnsi="Calibri" w:cs="Calibri"/>
                <w:b/>
                <w:bCs/>
                <w:lang w:val="pl" w:eastAsia="pl-PL"/>
              </w:rPr>
              <w:t>Wibor</w:t>
            </w:r>
            <w:proofErr w:type="spellEnd"/>
            <w:r w:rsidRPr="00EF7BE3">
              <w:rPr>
                <w:rFonts w:ascii="Calibri" w:eastAsia="Calibri" w:hAnsi="Calibri" w:cs="Calibri"/>
                <w:b/>
                <w:bCs/>
                <w:lang w:val="pl" w:eastAsia="pl-PL"/>
              </w:rPr>
              <w:t xml:space="preserve"> 3M 7,95% (+1,0%)</w:t>
            </w:r>
          </w:p>
        </w:tc>
      </w:tr>
      <w:tr w:rsidR="008A2C82" w:rsidRPr="00752B8F" w14:paraId="3E68AA07" w14:textId="77777777" w:rsidTr="00FE177D">
        <w:trPr>
          <w:trHeight w:val="345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B3912" w14:textId="77777777" w:rsidR="008A2C82" w:rsidRPr="00752B8F" w:rsidRDefault="008A2C82" w:rsidP="00FE177D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 w:rsidRPr="00752B8F">
              <w:rPr>
                <w:rFonts w:ascii="Calibri" w:eastAsia="Calibri" w:hAnsi="Calibri" w:cs="Calibri"/>
                <w:lang w:val="pl" w:eastAsia="pl-PL"/>
              </w:rPr>
              <w:t>200 000 zł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9562C" w14:textId="65F53030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1572,00</w:t>
            </w:r>
            <w:r w:rsidR="00DF1564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BA40F" w14:textId="10092C1D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1608,00</w:t>
            </w:r>
            <w:r w:rsidR="00DF1564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1B7A1" w14:textId="6E41708B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1644,00</w:t>
            </w:r>
            <w:r w:rsidR="00EF7BE3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E6FB5" w14:textId="238BCDCE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1680,00</w:t>
            </w:r>
            <w:r w:rsidR="00EF7BE3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052E4" w14:textId="2247FBCF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1717,00</w:t>
            </w:r>
            <w:r w:rsidR="00EF7BE3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</w:tr>
      <w:tr w:rsidR="008A2C82" w:rsidRPr="00752B8F" w14:paraId="046B6AD2" w14:textId="77777777" w:rsidTr="00FE177D">
        <w:trPr>
          <w:trHeight w:val="345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FA708" w14:textId="77777777" w:rsidR="008A2C82" w:rsidRPr="00752B8F" w:rsidRDefault="008A2C82" w:rsidP="00FE177D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 w:rsidRPr="00752B8F">
              <w:rPr>
                <w:rFonts w:ascii="Calibri" w:eastAsia="Calibri" w:hAnsi="Calibri" w:cs="Calibri"/>
                <w:lang w:val="pl" w:eastAsia="pl-PL"/>
              </w:rPr>
              <w:t>400 000 zł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7CB9B" w14:textId="4ED06C78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3144,00</w:t>
            </w:r>
            <w:r w:rsidR="00DF1564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AA9C9" w14:textId="5E64B255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3216,00</w:t>
            </w:r>
            <w:r w:rsidR="00DF1564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071DD" w14:textId="2A7DE74E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3288,00</w:t>
            </w:r>
            <w:r w:rsidR="00EF7BE3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D1037" w14:textId="0F8D3424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3361,00</w:t>
            </w:r>
            <w:r w:rsidR="00EF7BE3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3DB27" w14:textId="41046EF4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3434,00</w:t>
            </w:r>
            <w:r w:rsidR="00EF7BE3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</w:tr>
      <w:tr w:rsidR="008A2C82" w:rsidRPr="00752B8F" w14:paraId="3D7E441D" w14:textId="77777777" w:rsidTr="00FE177D">
        <w:trPr>
          <w:trHeight w:val="345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DB350" w14:textId="77777777" w:rsidR="008A2C82" w:rsidRPr="00752B8F" w:rsidRDefault="008A2C82" w:rsidP="00FE177D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 w:rsidRPr="00752B8F">
              <w:rPr>
                <w:rFonts w:ascii="Calibri" w:eastAsia="Calibri" w:hAnsi="Calibri" w:cs="Calibri"/>
                <w:lang w:val="pl" w:eastAsia="pl-PL"/>
              </w:rPr>
              <w:t>600 000 zł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4C04E" w14:textId="66B59C34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4716,00</w:t>
            </w:r>
            <w:r w:rsidR="00DF1564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24BAD" w14:textId="431DDCDA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4823,00</w:t>
            </w:r>
            <w:r w:rsidR="00DF1564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DEF6F" w14:textId="62CBB851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4932,00</w:t>
            </w:r>
            <w:r w:rsidR="00EF7BE3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74906" w14:textId="34F6C481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5041,00</w:t>
            </w:r>
            <w:r w:rsidR="00EF7BE3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9318A" w14:textId="49A1F292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5151,00</w:t>
            </w:r>
            <w:r w:rsidR="00EF7BE3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</w:tr>
      <w:tr w:rsidR="008A2C82" w:rsidRPr="00752B8F" w14:paraId="463F0122" w14:textId="77777777" w:rsidTr="00FE177D">
        <w:trPr>
          <w:trHeight w:val="345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7E33A" w14:textId="77777777" w:rsidR="008A2C82" w:rsidRPr="00752B8F" w:rsidRDefault="008A2C82" w:rsidP="00FE177D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 w:rsidRPr="00752B8F">
              <w:rPr>
                <w:rFonts w:ascii="Calibri" w:eastAsia="Calibri" w:hAnsi="Calibri" w:cs="Calibri"/>
                <w:lang w:val="pl" w:eastAsia="pl-PL"/>
              </w:rPr>
              <w:t>800 000 zł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507FB" w14:textId="1D4E3685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6288,00</w:t>
            </w:r>
            <w:r w:rsidR="00DF1564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FEED8" w14:textId="43BB8A77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6431,00</w:t>
            </w:r>
            <w:r w:rsidR="00DF1564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A92F5" w14:textId="087CF0DC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6576,00</w:t>
            </w:r>
            <w:r w:rsidR="00EF7BE3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4AD93" w14:textId="545C09DA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6721,00</w:t>
            </w:r>
            <w:r w:rsidR="00EF7BE3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3C1CF" w14:textId="3157F81E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6867,00</w:t>
            </w:r>
            <w:r w:rsidR="00EF7BE3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</w:tr>
      <w:tr w:rsidR="008A2C82" w:rsidRPr="00752B8F" w14:paraId="22ACB65E" w14:textId="77777777" w:rsidTr="00FE177D">
        <w:trPr>
          <w:trHeight w:val="345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1B5482" w14:textId="77777777" w:rsidR="008A2C82" w:rsidRPr="00752B8F" w:rsidRDefault="008A2C82" w:rsidP="00FE177D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 w:rsidRPr="00752B8F">
              <w:rPr>
                <w:rFonts w:ascii="Calibri" w:eastAsia="Calibri" w:hAnsi="Calibri" w:cs="Calibri"/>
                <w:lang w:val="pl" w:eastAsia="pl-PL"/>
              </w:rPr>
              <w:t>1 000 000 zł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5F34B" w14:textId="0826B448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7860,00</w:t>
            </w:r>
            <w:r w:rsidR="00DF1564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345A8" w14:textId="19B61B10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8039,00</w:t>
            </w:r>
            <w:r w:rsidR="00DF1564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42DD4" w14:textId="02AB3097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8220,00</w:t>
            </w:r>
            <w:r w:rsidR="00EF7BE3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ED1CB" w14:textId="0F0CC62C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8401,00</w:t>
            </w:r>
            <w:r w:rsidR="00EF7BE3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31FED" w14:textId="69E0F519" w:rsidR="008A2C82" w:rsidRPr="00752B8F" w:rsidRDefault="008A2C82" w:rsidP="00FE177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8584,00</w:t>
            </w:r>
            <w:r w:rsidR="00EF7BE3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zł</w:t>
            </w:r>
          </w:p>
        </w:tc>
      </w:tr>
      <w:bookmarkEnd w:id="0"/>
    </w:tbl>
    <w:p w14:paraId="56DD03DF" w14:textId="77777777" w:rsidR="008A2C82" w:rsidRDefault="008A2C82" w:rsidP="008A2C82"/>
    <w:p w14:paraId="224B0C83" w14:textId="77777777" w:rsidR="008A2C82" w:rsidRDefault="008A2C82" w:rsidP="00F96A0B"/>
    <w:sectPr w:rsidR="008A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82C74"/>
    <w:multiLevelType w:val="hybridMultilevel"/>
    <w:tmpl w:val="5D4E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6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94"/>
    <w:rsid w:val="000121F0"/>
    <w:rsid w:val="00041602"/>
    <w:rsid w:val="00060F50"/>
    <w:rsid w:val="0006465E"/>
    <w:rsid w:val="00065F7E"/>
    <w:rsid w:val="000700D2"/>
    <w:rsid w:val="0008742C"/>
    <w:rsid w:val="000D4148"/>
    <w:rsid w:val="000E18E0"/>
    <w:rsid w:val="0012320C"/>
    <w:rsid w:val="00123A5B"/>
    <w:rsid w:val="001416C7"/>
    <w:rsid w:val="0018585D"/>
    <w:rsid w:val="001B0EA5"/>
    <w:rsid w:val="0022048B"/>
    <w:rsid w:val="002366DF"/>
    <w:rsid w:val="002440F3"/>
    <w:rsid w:val="00260B25"/>
    <w:rsid w:val="00275FF3"/>
    <w:rsid w:val="002B33C0"/>
    <w:rsid w:val="002D6D23"/>
    <w:rsid w:val="002D7D66"/>
    <w:rsid w:val="0030108C"/>
    <w:rsid w:val="00394822"/>
    <w:rsid w:val="003B2EA6"/>
    <w:rsid w:val="003C4A1E"/>
    <w:rsid w:val="003D1F33"/>
    <w:rsid w:val="003F27EB"/>
    <w:rsid w:val="00404F7F"/>
    <w:rsid w:val="00423E2C"/>
    <w:rsid w:val="00437D87"/>
    <w:rsid w:val="0045193E"/>
    <w:rsid w:val="00456303"/>
    <w:rsid w:val="0046526A"/>
    <w:rsid w:val="004D0C8F"/>
    <w:rsid w:val="004D4291"/>
    <w:rsid w:val="004E1E5D"/>
    <w:rsid w:val="00566336"/>
    <w:rsid w:val="005751AF"/>
    <w:rsid w:val="0058697C"/>
    <w:rsid w:val="00594711"/>
    <w:rsid w:val="005D7FAD"/>
    <w:rsid w:val="005F56B4"/>
    <w:rsid w:val="0063205F"/>
    <w:rsid w:val="00634342"/>
    <w:rsid w:val="00653E17"/>
    <w:rsid w:val="006633E6"/>
    <w:rsid w:val="006645DE"/>
    <w:rsid w:val="00670D07"/>
    <w:rsid w:val="00680939"/>
    <w:rsid w:val="006820C4"/>
    <w:rsid w:val="006A2F42"/>
    <w:rsid w:val="006B4794"/>
    <w:rsid w:val="006B7837"/>
    <w:rsid w:val="006C07F4"/>
    <w:rsid w:val="006C65B6"/>
    <w:rsid w:val="006D0813"/>
    <w:rsid w:val="006D1F1A"/>
    <w:rsid w:val="006E390C"/>
    <w:rsid w:val="006E7FC0"/>
    <w:rsid w:val="00733C0C"/>
    <w:rsid w:val="00751D29"/>
    <w:rsid w:val="00752B8F"/>
    <w:rsid w:val="0075443E"/>
    <w:rsid w:val="0076464D"/>
    <w:rsid w:val="00793D6F"/>
    <w:rsid w:val="007A2398"/>
    <w:rsid w:val="007B0722"/>
    <w:rsid w:val="007B7284"/>
    <w:rsid w:val="007C587A"/>
    <w:rsid w:val="007D6319"/>
    <w:rsid w:val="007F26C6"/>
    <w:rsid w:val="007F3D26"/>
    <w:rsid w:val="008127CB"/>
    <w:rsid w:val="008210DB"/>
    <w:rsid w:val="008409E7"/>
    <w:rsid w:val="00890C2A"/>
    <w:rsid w:val="00891DC2"/>
    <w:rsid w:val="0089220F"/>
    <w:rsid w:val="008A2B68"/>
    <w:rsid w:val="008A2C82"/>
    <w:rsid w:val="00961805"/>
    <w:rsid w:val="009A7258"/>
    <w:rsid w:val="009E54E7"/>
    <w:rsid w:val="00A11823"/>
    <w:rsid w:val="00A252A5"/>
    <w:rsid w:val="00A47159"/>
    <w:rsid w:val="00A9008F"/>
    <w:rsid w:val="00AD50AD"/>
    <w:rsid w:val="00B35F13"/>
    <w:rsid w:val="00B73432"/>
    <w:rsid w:val="00B92B73"/>
    <w:rsid w:val="00B94422"/>
    <w:rsid w:val="00BA453E"/>
    <w:rsid w:val="00BE7DE0"/>
    <w:rsid w:val="00C001BB"/>
    <w:rsid w:val="00C06116"/>
    <w:rsid w:val="00C271D2"/>
    <w:rsid w:val="00C3360C"/>
    <w:rsid w:val="00C475C1"/>
    <w:rsid w:val="00C53525"/>
    <w:rsid w:val="00C54218"/>
    <w:rsid w:val="00CB7757"/>
    <w:rsid w:val="00CC5E19"/>
    <w:rsid w:val="00CD1468"/>
    <w:rsid w:val="00D244C8"/>
    <w:rsid w:val="00D248F7"/>
    <w:rsid w:val="00D32DB1"/>
    <w:rsid w:val="00D357C4"/>
    <w:rsid w:val="00D37E77"/>
    <w:rsid w:val="00D43F0A"/>
    <w:rsid w:val="00D674EA"/>
    <w:rsid w:val="00D801FD"/>
    <w:rsid w:val="00DD4086"/>
    <w:rsid w:val="00DD5DBA"/>
    <w:rsid w:val="00DE3BC3"/>
    <w:rsid w:val="00DF1564"/>
    <w:rsid w:val="00E04204"/>
    <w:rsid w:val="00E04587"/>
    <w:rsid w:val="00E105FD"/>
    <w:rsid w:val="00E1311E"/>
    <w:rsid w:val="00E13165"/>
    <w:rsid w:val="00E2174A"/>
    <w:rsid w:val="00E252FB"/>
    <w:rsid w:val="00E65B2D"/>
    <w:rsid w:val="00E81CE2"/>
    <w:rsid w:val="00E83E89"/>
    <w:rsid w:val="00E93B38"/>
    <w:rsid w:val="00EB549D"/>
    <w:rsid w:val="00EC1499"/>
    <w:rsid w:val="00EF7BE3"/>
    <w:rsid w:val="00F038BF"/>
    <w:rsid w:val="00F04235"/>
    <w:rsid w:val="00F45BB7"/>
    <w:rsid w:val="00F50D77"/>
    <w:rsid w:val="00F51BEF"/>
    <w:rsid w:val="00F6357C"/>
    <w:rsid w:val="00F96A0B"/>
    <w:rsid w:val="00FC61CC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ACC"/>
  <w15:docId w15:val="{A6244128-ACB7-3547-81E4-A30E7745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794"/>
    <w:pPr>
      <w:ind w:left="720"/>
      <w:contextualSpacing/>
    </w:pPr>
  </w:style>
  <w:style w:type="table" w:styleId="Tabela-Siatka">
    <w:name w:val="Table Grid"/>
    <w:basedOn w:val="Standardowy"/>
    <w:uiPriority w:val="39"/>
    <w:rsid w:val="008A2B6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B78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Wojtczak</dc:creator>
  <cp:lastModifiedBy>Anna Gajewska</cp:lastModifiedBy>
  <cp:revision>4</cp:revision>
  <dcterms:created xsi:type="dcterms:W3CDTF">2023-02-01T08:07:00Z</dcterms:created>
  <dcterms:modified xsi:type="dcterms:W3CDTF">2023-02-01T09:27:00Z</dcterms:modified>
</cp:coreProperties>
</file>